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E1B1">
      <w:pPr>
        <w:widowControl w:val="0"/>
        <w:jc w:val="distribute"/>
        <w:rPr>
          <w:rFonts w:hint="eastAsia" w:asciiTheme="minorEastAsia" w:hAnsiTheme="minorEastAsia" w:eastAsiaTheme="minorEastAsia" w:cstheme="minorEastAsia"/>
          <w:bCs/>
          <w:snapToGrid w:val="0"/>
          <w:color w:val="FF0000"/>
          <w:sz w:val="56"/>
          <w:szCs w:val="56"/>
        </w:rPr>
      </w:pPr>
      <w:r>
        <w:rPr>
          <w:rFonts w:hint="eastAsia" w:asciiTheme="minorEastAsia" w:hAnsiTheme="minorEastAsia" w:eastAsiaTheme="minorEastAsia" w:cstheme="minorEastAsia"/>
          <w:bCs/>
          <w:snapToGrid w:val="0"/>
          <w:color w:val="FF0000"/>
          <w:sz w:val="56"/>
          <w:szCs w:val="56"/>
        </w:rPr>
        <w:t>“建华工程奖”奖励委员会</w:t>
      </w:r>
    </w:p>
    <w:p w14:paraId="1AF0766F">
      <w:pPr>
        <w:widowControl w:val="0"/>
        <w:jc w:val="distribute"/>
        <w:rPr>
          <w:rFonts w:hint="default" w:asciiTheme="minorEastAsia" w:hAnsiTheme="minorEastAsia" w:eastAsiaTheme="minorEastAsia" w:cstheme="minorEastAsia"/>
          <w:bCs/>
          <w:snapToGrid w:val="0"/>
          <w:color w:val="FF0000"/>
          <w:sz w:val="56"/>
          <w:szCs w:val="56"/>
          <w:lang w:val="en-US" w:eastAsia="zh-CN"/>
        </w:rPr>
      </w:pPr>
      <w:r>
        <w:rPr>
          <w:rFonts w:hint="eastAsia" w:asciiTheme="minorEastAsia" w:hAnsiTheme="minorEastAsia" w:eastAsiaTheme="minorEastAsia" w:cstheme="minorEastAsia"/>
          <w:bCs/>
          <w:snapToGrid w:val="0"/>
          <w:color w:val="FF0000"/>
          <w:sz w:val="56"/>
          <w:szCs w:val="56"/>
          <w:lang w:val="en-US" w:eastAsia="zh-CN"/>
        </w:rPr>
        <w:t>中国混凝土与水泥制品协会</w:t>
      </w:r>
    </w:p>
    <w:p w14:paraId="6BE96A76">
      <w:pPr>
        <w:spacing w:line="60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109220</wp:posOffset>
                </wp:positionV>
                <wp:extent cx="5760085" cy="0"/>
                <wp:effectExtent l="0" t="9525" r="635" b="13335"/>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FF0000"/>
                          </a:solidFill>
                          <a:round/>
                        </a:ln>
                      </wps:spPr>
                      <wps:bodyPr/>
                    </wps:wsp>
                  </a:graphicData>
                </a:graphic>
              </wp:anchor>
            </w:drawing>
          </mc:Choice>
          <mc:Fallback>
            <w:pict>
              <v:line id="Line 2" o:spid="_x0000_s1026" o:spt="20" style="position:absolute;left:0pt;margin-left:0pt;margin-top:8.6pt;height:0pt;width:453.55pt;z-index:251659264;mso-width-relative:page;mso-height-relative:page;" filled="f" stroked="t" coordsize="21600,21600" o:gfxdata="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81lTdUAAAAGAQAADwAAAAAAAAABACAAAAAiAAAAZHJzL2Rv&#10;d25yZXYueG1sUEsBAhQAFAAAAAgAh07iQLsPsnzLAQAAoAMAAA4AAAAAAAAAAQAgAAAAJAEAAGRy&#10;cy9lMm9Eb2MueG1sUEsFBgAAAAAGAAYAWQEAAGEFAAAAAA==&#10;">
                <v:fill on="f" focussize="0,0"/>
                <v:stroke weight="1.5pt" color="#FF0000" joinstyle="round"/>
                <v:imagedata o:title=""/>
                <o:lock v:ext="edit" aspectratio="f"/>
              </v:line>
            </w:pict>
          </mc:Fallback>
        </mc:AlternateContent>
      </w:r>
    </w:p>
    <w:p w14:paraId="671E1685">
      <w:pPr>
        <w:adjustRightInd w:val="0"/>
        <w:snapToGrid w:val="0"/>
        <w:spacing w:line="360" w:lineRule="auto"/>
        <w:jc w:val="center"/>
        <w:rPr>
          <w:rFonts w:hint="eastAsia" w:ascii="宋体" w:hAnsi="宋体"/>
          <w:b/>
          <w:sz w:val="28"/>
          <w:szCs w:val="28"/>
        </w:rPr>
      </w:pPr>
    </w:p>
    <w:p w14:paraId="36F3FF2C">
      <w:pPr>
        <w:adjustRightInd w:val="0"/>
        <w:snapToGrid w:val="0"/>
        <w:spacing w:line="360" w:lineRule="auto"/>
        <w:jc w:val="center"/>
        <w:rPr>
          <w:rFonts w:ascii="宋体" w:hAnsi="宋体"/>
          <w:b/>
          <w:sz w:val="44"/>
          <w:szCs w:val="44"/>
        </w:rPr>
      </w:pPr>
      <w:r>
        <w:rPr>
          <w:rFonts w:hint="eastAsia" w:ascii="宋体" w:hAnsi="宋体"/>
          <w:b/>
          <w:sz w:val="44"/>
          <w:szCs w:val="44"/>
        </w:rPr>
        <w:t>“建华工程奖”章程</w:t>
      </w:r>
    </w:p>
    <w:p w14:paraId="4990FF8B">
      <w:pPr>
        <w:adjustRightInd w:val="0"/>
        <w:snapToGrid w:val="0"/>
        <w:spacing w:line="360" w:lineRule="auto"/>
        <w:rPr>
          <w:rFonts w:ascii="宋体" w:hAnsi="宋体"/>
          <w:sz w:val="28"/>
          <w:szCs w:val="28"/>
        </w:rPr>
      </w:pPr>
    </w:p>
    <w:p w14:paraId="5AA8590D">
      <w:pPr>
        <w:adjustRightInd w:val="0"/>
        <w:snapToGrid w:val="0"/>
        <w:spacing w:line="360" w:lineRule="auto"/>
        <w:jc w:val="center"/>
        <w:rPr>
          <w:rFonts w:ascii="宋体" w:hAnsi="宋体"/>
          <w:b/>
          <w:sz w:val="32"/>
          <w:szCs w:val="32"/>
        </w:rPr>
      </w:pPr>
      <w:r>
        <w:rPr>
          <w:rFonts w:hint="eastAsia" w:ascii="宋体" w:hAnsi="宋体"/>
          <w:b/>
          <w:sz w:val="32"/>
          <w:szCs w:val="32"/>
        </w:rPr>
        <w:t>第一章</w:t>
      </w:r>
      <w:r>
        <w:rPr>
          <w:rFonts w:ascii="宋体" w:hAnsi="宋体"/>
          <w:b/>
          <w:sz w:val="32"/>
          <w:szCs w:val="32"/>
        </w:rPr>
        <w:t xml:space="preserve">  </w:t>
      </w:r>
      <w:r>
        <w:rPr>
          <w:rFonts w:hint="eastAsia" w:ascii="宋体" w:hAnsi="宋体"/>
          <w:b/>
          <w:sz w:val="32"/>
          <w:szCs w:val="32"/>
        </w:rPr>
        <w:t>总则</w:t>
      </w:r>
    </w:p>
    <w:p w14:paraId="076D3499">
      <w:pPr>
        <w:adjustRightInd w:val="0"/>
        <w:snapToGrid w:val="0"/>
        <w:spacing w:line="360" w:lineRule="auto"/>
        <w:rPr>
          <w:rFonts w:ascii="宋体" w:hAnsi="宋体"/>
          <w:b/>
          <w:sz w:val="28"/>
          <w:szCs w:val="28"/>
        </w:rPr>
      </w:pPr>
    </w:p>
    <w:p w14:paraId="03878224">
      <w:pPr>
        <w:adjustRightInd w:val="0"/>
        <w:snapToGrid w:val="0"/>
        <w:spacing w:line="360" w:lineRule="auto"/>
        <w:ind w:firstLine="562" w:firstLineChars="200"/>
        <w:rPr>
          <w:rFonts w:ascii="宋体" w:hAnsi="宋体"/>
          <w:sz w:val="28"/>
          <w:szCs w:val="28"/>
        </w:rPr>
      </w:pPr>
      <w:r>
        <w:rPr>
          <w:rFonts w:hint="eastAsia" w:ascii="宋体" w:hAnsi="宋体"/>
          <w:b/>
          <w:sz w:val="28"/>
          <w:szCs w:val="28"/>
        </w:rPr>
        <w:t xml:space="preserve">第一条 </w:t>
      </w:r>
      <w:r>
        <w:rPr>
          <w:rFonts w:ascii="宋体" w:hAnsi="宋体"/>
          <w:sz w:val="28"/>
          <w:szCs w:val="28"/>
        </w:rPr>
        <w:t xml:space="preserve"> </w:t>
      </w:r>
      <w:r>
        <w:rPr>
          <w:rFonts w:hint="eastAsia" w:ascii="宋体" w:hAnsi="宋体"/>
          <w:sz w:val="28"/>
          <w:szCs w:val="28"/>
        </w:rPr>
        <w:t>为了贯彻国家科技创新战略，提高预制混凝土行业技术水平，加快预制混凝土行业技术进步，带动相关产业发展，促进科技成果转化，充分调动广大科技人员积极性和创造性，依据《国家科学技术奖励条例》和《社会力量设立科学技术奖管理办法》的有关规定，特设立“建华工程奖”。</w:t>
      </w:r>
    </w:p>
    <w:p w14:paraId="0098472B">
      <w:pPr>
        <w:adjustRightInd w:val="0"/>
        <w:snapToGrid w:val="0"/>
        <w:spacing w:line="360" w:lineRule="auto"/>
        <w:ind w:firstLine="562" w:firstLineChars="200"/>
        <w:rPr>
          <w:rFonts w:ascii="宋体" w:hAnsi="宋体"/>
          <w:sz w:val="28"/>
          <w:szCs w:val="28"/>
        </w:rPr>
      </w:pPr>
      <w:r>
        <w:rPr>
          <w:rFonts w:hint="eastAsia" w:ascii="宋体" w:hAnsi="宋体"/>
          <w:b/>
          <w:sz w:val="28"/>
          <w:szCs w:val="28"/>
        </w:rPr>
        <w:t xml:space="preserve">第二条 </w:t>
      </w:r>
      <w:r>
        <w:rPr>
          <w:rFonts w:ascii="宋体" w:hAnsi="宋体"/>
          <w:sz w:val="28"/>
          <w:szCs w:val="28"/>
        </w:rPr>
        <w:t xml:space="preserve"> </w:t>
      </w:r>
      <w:r>
        <w:rPr>
          <w:rFonts w:hint="eastAsia" w:ascii="宋体" w:hAnsi="宋体"/>
          <w:sz w:val="28"/>
          <w:szCs w:val="28"/>
        </w:rPr>
        <w:t>“建华工程奖”由建华</w:t>
      </w:r>
      <w:r>
        <w:rPr>
          <w:rFonts w:hint="eastAsia" w:ascii="宋体" w:hAnsi="宋体"/>
          <w:sz w:val="28"/>
          <w:szCs w:val="28"/>
          <w:lang w:val="en-US" w:eastAsia="zh-CN"/>
        </w:rPr>
        <w:t>控股</w:t>
      </w:r>
      <w:r>
        <w:rPr>
          <w:rFonts w:hint="eastAsia" w:ascii="宋体" w:hAnsi="宋体"/>
          <w:sz w:val="28"/>
          <w:szCs w:val="28"/>
        </w:rPr>
        <w:t>有限公司</w:t>
      </w:r>
      <w:r>
        <w:rPr>
          <w:rFonts w:ascii="宋体" w:hAnsi="宋体"/>
          <w:sz w:val="28"/>
          <w:szCs w:val="28"/>
        </w:rPr>
        <w:t>(</w:t>
      </w:r>
      <w:r>
        <w:rPr>
          <w:rFonts w:hint="eastAsia" w:ascii="宋体" w:hAnsi="宋体"/>
          <w:sz w:val="28"/>
          <w:szCs w:val="28"/>
        </w:rPr>
        <w:t>以下简称“建华</w:t>
      </w:r>
      <w:r>
        <w:rPr>
          <w:rFonts w:hint="eastAsia" w:ascii="宋体" w:hAnsi="宋体"/>
          <w:sz w:val="28"/>
          <w:szCs w:val="28"/>
          <w:lang w:val="en-US" w:eastAsia="zh-CN"/>
        </w:rPr>
        <w:t>控股</w:t>
      </w:r>
      <w:r>
        <w:rPr>
          <w:rFonts w:hint="eastAsia" w:ascii="宋体" w:hAnsi="宋体"/>
          <w:sz w:val="28"/>
          <w:szCs w:val="28"/>
        </w:rPr>
        <w:t>”</w:t>
      </w:r>
      <w:r>
        <w:rPr>
          <w:rFonts w:ascii="宋体" w:hAnsi="宋体"/>
          <w:sz w:val="28"/>
          <w:szCs w:val="28"/>
        </w:rPr>
        <w:t>)</w:t>
      </w:r>
      <w:r>
        <w:rPr>
          <w:rFonts w:hint="eastAsia" w:ascii="宋体" w:hAnsi="宋体"/>
          <w:sz w:val="28"/>
          <w:szCs w:val="28"/>
        </w:rPr>
        <w:t>设立</w:t>
      </w:r>
      <w:r>
        <w:rPr>
          <w:rFonts w:hint="eastAsia" w:ascii="宋体" w:hAnsi="宋体"/>
          <w:sz w:val="28"/>
          <w:szCs w:val="28"/>
          <w:lang w:eastAsia="zh-CN"/>
        </w:rPr>
        <w:t>、</w:t>
      </w:r>
      <w:r>
        <w:rPr>
          <w:rFonts w:hint="eastAsia" w:ascii="宋体" w:hAnsi="宋体"/>
          <w:sz w:val="28"/>
          <w:szCs w:val="28"/>
          <w:lang w:val="en-US" w:eastAsia="zh-CN"/>
        </w:rPr>
        <w:t>中国混凝土与水泥制品协会承办，</w:t>
      </w:r>
      <w:r>
        <w:rPr>
          <w:rFonts w:hint="eastAsia" w:ascii="宋体" w:hAnsi="宋体"/>
          <w:sz w:val="28"/>
          <w:szCs w:val="28"/>
        </w:rPr>
        <w:t>并在国家科学技术奖励工作办公室及有关行业学</w:t>
      </w:r>
      <w:r>
        <w:rPr>
          <w:rFonts w:hint="eastAsia" w:ascii="宋体" w:hAnsi="宋体"/>
          <w:sz w:val="28"/>
          <w:szCs w:val="28"/>
          <w:lang w:eastAsia="zh-CN"/>
        </w:rPr>
        <w:t>（</w:t>
      </w:r>
      <w:r>
        <w:rPr>
          <w:rFonts w:hint="eastAsia" w:ascii="宋体" w:hAnsi="宋体"/>
          <w:sz w:val="28"/>
          <w:szCs w:val="28"/>
        </w:rPr>
        <w:t>协</w:t>
      </w:r>
      <w:r>
        <w:rPr>
          <w:rFonts w:hint="eastAsia" w:ascii="宋体" w:hAnsi="宋体"/>
          <w:sz w:val="28"/>
          <w:szCs w:val="28"/>
          <w:lang w:eastAsia="zh-CN"/>
        </w:rPr>
        <w:t>）</w:t>
      </w:r>
      <w:r>
        <w:rPr>
          <w:rFonts w:hint="eastAsia" w:ascii="宋体" w:hAnsi="宋体"/>
          <w:sz w:val="28"/>
          <w:szCs w:val="28"/>
        </w:rPr>
        <w:t>会的支持与指导下进行。</w:t>
      </w:r>
    </w:p>
    <w:p w14:paraId="6CEEF6EA">
      <w:pPr>
        <w:adjustRightInd w:val="0"/>
        <w:snapToGrid w:val="0"/>
        <w:spacing w:line="360" w:lineRule="auto"/>
        <w:ind w:firstLine="562" w:firstLineChars="200"/>
        <w:rPr>
          <w:rFonts w:ascii="宋体" w:hAnsi="宋体"/>
          <w:sz w:val="28"/>
          <w:szCs w:val="28"/>
        </w:rPr>
      </w:pPr>
      <w:r>
        <w:rPr>
          <w:rFonts w:hint="eastAsia" w:ascii="宋体" w:hAnsi="宋体"/>
          <w:b/>
          <w:sz w:val="28"/>
          <w:szCs w:val="28"/>
        </w:rPr>
        <w:t xml:space="preserve">第三条 </w:t>
      </w:r>
      <w:r>
        <w:rPr>
          <w:rFonts w:ascii="宋体" w:hAnsi="宋体"/>
          <w:sz w:val="28"/>
          <w:szCs w:val="28"/>
        </w:rPr>
        <w:t xml:space="preserve"> </w:t>
      </w:r>
      <w:r>
        <w:rPr>
          <w:rFonts w:hint="eastAsia" w:ascii="宋体" w:hAnsi="宋体"/>
          <w:sz w:val="28"/>
          <w:szCs w:val="28"/>
        </w:rPr>
        <w:t>本奖项在申报、评审和颁奖过程中，坚持公开、公正、公平的原则。</w:t>
      </w:r>
    </w:p>
    <w:p w14:paraId="268354FD">
      <w:pPr>
        <w:adjustRightInd w:val="0"/>
        <w:snapToGrid w:val="0"/>
        <w:spacing w:line="360" w:lineRule="auto"/>
        <w:rPr>
          <w:rFonts w:ascii="宋体" w:hAnsi="宋体"/>
          <w:sz w:val="28"/>
          <w:szCs w:val="28"/>
        </w:rPr>
      </w:pPr>
    </w:p>
    <w:p w14:paraId="1760352B">
      <w:pPr>
        <w:adjustRightInd w:val="0"/>
        <w:snapToGrid w:val="0"/>
        <w:spacing w:line="360" w:lineRule="auto"/>
        <w:jc w:val="center"/>
        <w:rPr>
          <w:rFonts w:ascii="宋体" w:hAns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组织管理</w:t>
      </w:r>
    </w:p>
    <w:p w14:paraId="60E4827E">
      <w:pPr>
        <w:adjustRightInd w:val="0"/>
        <w:snapToGrid w:val="0"/>
        <w:spacing w:line="360" w:lineRule="auto"/>
        <w:rPr>
          <w:rFonts w:ascii="宋体" w:hAnsi="宋体"/>
          <w:b/>
          <w:sz w:val="28"/>
          <w:szCs w:val="28"/>
        </w:rPr>
      </w:pPr>
    </w:p>
    <w:p w14:paraId="396F0DBD">
      <w:pPr>
        <w:adjustRightInd w:val="0"/>
        <w:snapToGrid w:val="0"/>
        <w:spacing w:line="360" w:lineRule="auto"/>
        <w:ind w:firstLine="562" w:firstLineChars="200"/>
        <w:rPr>
          <w:rFonts w:ascii="宋体" w:hAnsi="宋体"/>
          <w:sz w:val="28"/>
          <w:szCs w:val="28"/>
        </w:rPr>
      </w:pPr>
      <w:r>
        <w:rPr>
          <w:rFonts w:hint="eastAsia" w:ascii="宋体" w:hAnsi="宋体"/>
          <w:b/>
          <w:sz w:val="28"/>
          <w:szCs w:val="28"/>
        </w:rPr>
        <w:t xml:space="preserve">第四条 </w:t>
      </w:r>
      <w:r>
        <w:rPr>
          <w:rFonts w:ascii="宋体" w:hAnsi="宋体"/>
          <w:sz w:val="28"/>
          <w:szCs w:val="28"/>
        </w:rPr>
        <w:t xml:space="preserve"> </w:t>
      </w:r>
      <w:r>
        <w:rPr>
          <w:rFonts w:hint="eastAsia" w:ascii="宋体" w:hAnsi="宋体"/>
          <w:sz w:val="28"/>
          <w:szCs w:val="28"/>
        </w:rPr>
        <w:t>为使奖励工作有序进行并得到有效监督和管理，特设立“建华工程奖”奖励委员会（以下简称“奖励委员会”）。奖励委员会的主要职责为：</w:t>
      </w:r>
    </w:p>
    <w:p w14:paraId="746EF010">
      <w:pPr>
        <w:adjustRightInd w:val="0"/>
        <w:snapToGrid w:val="0"/>
        <w:spacing w:line="360" w:lineRule="auto"/>
        <w:ind w:firstLine="560" w:firstLineChars="200"/>
        <w:rPr>
          <w:rFonts w:ascii="宋体" w:hAnsi="宋体"/>
          <w:sz w:val="28"/>
          <w:szCs w:val="28"/>
        </w:rPr>
      </w:pPr>
      <w:r>
        <w:rPr>
          <w:rFonts w:hint="eastAsia" w:ascii="宋体" w:hAnsi="宋体"/>
          <w:sz w:val="28"/>
          <w:szCs w:val="28"/>
        </w:rPr>
        <w:t>（一）指导、监督和参与“建华工程奖”奖励评审工作；</w:t>
      </w:r>
    </w:p>
    <w:p w14:paraId="5EFC7EEF">
      <w:pPr>
        <w:adjustRightInd w:val="0"/>
        <w:snapToGrid w:val="0"/>
        <w:spacing w:line="360" w:lineRule="auto"/>
        <w:ind w:firstLine="560" w:firstLineChars="200"/>
        <w:rPr>
          <w:rFonts w:ascii="宋体" w:hAnsi="宋体"/>
          <w:sz w:val="28"/>
          <w:szCs w:val="28"/>
        </w:rPr>
      </w:pPr>
      <w:r>
        <w:rPr>
          <w:rFonts w:hint="eastAsia" w:ascii="宋体" w:hAnsi="宋体"/>
          <w:sz w:val="28"/>
          <w:szCs w:val="28"/>
        </w:rPr>
        <w:t>（二）核准评审委员会，包括专业评审组（简称“专业组”）、综合评审组（简称“综合组”）评审委员；</w:t>
      </w:r>
    </w:p>
    <w:p w14:paraId="179E9109">
      <w:pPr>
        <w:adjustRightInd w:val="0"/>
        <w:snapToGrid w:val="0"/>
        <w:spacing w:line="360" w:lineRule="auto"/>
        <w:ind w:firstLine="560" w:firstLineChars="200"/>
        <w:rPr>
          <w:rFonts w:ascii="宋体" w:hAnsi="宋体"/>
          <w:sz w:val="28"/>
          <w:szCs w:val="28"/>
        </w:rPr>
      </w:pPr>
      <w:r>
        <w:rPr>
          <w:rFonts w:hint="eastAsia" w:ascii="宋体" w:hAnsi="宋体"/>
          <w:sz w:val="28"/>
          <w:szCs w:val="28"/>
        </w:rPr>
        <w:t>（三）处理评审工作中出现的重大问题；</w:t>
      </w:r>
    </w:p>
    <w:p w14:paraId="392EC390">
      <w:pPr>
        <w:adjustRightInd w:val="0"/>
        <w:snapToGrid w:val="0"/>
        <w:spacing w:line="360" w:lineRule="auto"/>
        <w:ind w:firstLine="560" w:firstLineChars="200"/>
        <w:rPr>
          <w:rFonts w:ascii="宋体" w:hAnsi="宋体"/>
          <w:sz w:val="28"/>
          <w:szCs w:val="28"/>
        </w:rPr>
      </w:pPr>
      <w:r>
        <w:rPr>
          <w:rFonts w:hint="eastAsia" w:ascii="宋体" w:hAnsi="宋体"/>
          <w:sz w:val="28"/>
          <w:szCs w:val="28"/>
        </w:rPr>
        <w:t>（四）审定年度授奖项目。</w:t>
      </w:r>
    </w:p>
    <w:p w14:paraId="5211351E">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第五条</w:t>
      </w:r>
      <w:r>
        <w:rPr>
          <w:rFonts w:hint="eastAsia" w:ascii="宋体" w:hAnsi="宋体"/>
          <w:sz w:val="28"/>
          <w:szCs w:val="28"/>
        </w:rPr>
        <w:t xml:space="preserve">  “建华工程奖”奖励委员会下设奖励办公室，负责评审专家库的建立，组织申报成果的形式审查，组织申报成果的预审、评审、审定和考察确认等各项工作，组织公示、授奖大会及“建华工程奖”日常管理工作。</w:t>
      </w:r>
    </w:p>
    <w:p w14:paraId="792F9683">
      <w:pPr>
        <w:adjustRightInd w:val="0"/>
        <w:snapToGrid w:val="0"/>
        <w:spacing w:line="360" w:lineRule="auto"/>
        <w:rPr>
          <w:rFonts w:ascii="宋体" w:hAnsi="宋体"/>
          <w:sz w:val="28"/>
          <w:szCs w:val="28"/>
        </w:rPr>
      </w:pPr>
    </w:p>
    <w:p w14:paraId="31AE1EE5">
      <w:pPr>
        <w:adjustRightInd w:val="0"/>
        <w:snapToGrid w:val="0"/>
        <w:spacing w:line="360" w:lineRule="auto"/>
        <w:jc w:val="center"/>
        <w:rPr>
          <w:rFonts w:ascii="宋体" w:hAnsi="宋体"/>
          <w:b/>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申报范围与条件</w:t>
      </w:r>
    </w:p>
    <w:p w14:paraId="7FE4020B">
      <w:pPr>
        <w:adjustRightInd w:val="0"/>
        <w:snapToGrid w:val="0"/>
        <w:spacing w:line="360" w:lineRule="auto"/>
        <w:rPr>
          <w:rFonts w:ascii="宋体" w:hAnsi="宋体"/>
          <w:b/>
          <w:sz w:val="28"/>
          <w:szCs w:val="28"/>
        </w:rPr>
      </w:pPr>
    </w:p>
    <w:p w14:paraId="692F4B71">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第六条</w:t>
      </w:r>
      <w:r>
        <w:rPr>
          <w:rFonts w:ascii="宋体" w:hAnsi="宋体"/>
          <w:sz w:val="28"/>
          <w:szCs w:val="28"/>
        </w:rPr>
        <w:t xml:space="preserve">  </w:t>
      </w:r>
      <w:r>
        <w:rPr>
          <w:rFonts w:hint="eastAsia" w:ascii="宋体" w:hAnsi="宋体"/>
          <w:sz w:val="28"/>
          <w:szCs w:val="28"/>
        </w:rPr>
        <w:t>申报范围</w:t>
      </w:r>
    </w:p>
    <w:p w14:paraId="566E1A2C">
      <w:pPr>
        <w:adjustRightInd w:val="0"/>
        <w:snapToGrid w:val="0"/>
        <w:spacing w:line="360" w:lineRule="auto"/>
        <w:ind w:firstLine="560" w:firstLineChars="200"/>
        <w:rPr>
          <w:rFonts w:ascii="宋体" w:hAnsi="宋体"/>
          <w:sz w:val="28"/>
          <w:szCs w:val="28"/>
        </w:rPr>
      </w:pPr>
      <w:r>
        <w:rPr>
          <w:rFonts w:hint="eastAsia" w:ascii="宋体" w:hAnsi="宋体"/>
          <w:sz w:val="28"/>
          <w:szCs w:val="28"/>
        </w:rPr>
        <w:t>本奖项的申报范围是从事预制混凝土技术科研、设计、生产、施工和应用等方面成绩突出的团队或项目组。并符合以下条件：</w:t>
      </w:r>
    </w:p>
    <w:p w14:paraId="58EEE7F1">
      <w:pPr>
        <w:adjustRightInd w:val="0"/>
        <w:snapToGrid w:val="0"/>
        <w:spacing w:line="360" w:lineRule="auto"/>
        <w:ind w:firstLine="560" w:firstLineChars="200"/>
        <w:rPr>
          <w:rFonts w:ascii="宋体" w:hAnsi="宋体"/>
          <w:sz w:val="28"/>
          <w:szCs w:val="28"/>
        </w:rPr>
      </w:pPr>
      <w:r>
        <w:rPr>
          <w:rFonts w:hint="eastAsia" w:ascii="宋体" w:hAnsi="宋体"/>
          <w:sz w:val="28"/>
          <w:szCs w:val="28"/>
        </w:rPr>
        <w:t>（一）研发新型预制混凝土技术（新技术、新产品、新材料、新工艺），解决了预制混凝土技术应用的关键问题，产生了显著的经济效益；</w:t>
      </w:r>
    </w:p>
    <w:p w14:paraId="60450036">
      <w:pPr>
        <w:adjustRightInd w:val="0"/>
        <w:snapToGrid w:val="0"/>
        <w:spacing w:line="360" w:lineRule="auto"/>
        <w:ind w:firstLine="560" w:firstLineChars="200"/>
        <w:rPr>
          <w:rFonts w:ascii="宋体" w:hAnsi="宋体"/>
          <w:sz w:val="28"/>
          <w:szCs w:val="28"/>
        </w:rPr>
      </w:pPr>
      <w:r>
        <w:rPr>
          <w:rFonts w:hint="eastAsia" w:ascii="宋体" w:hAnsi="宋体"/>
          <w:sz w:val="28"/>
          <w:szCs w:val="28"/>
        </w:rPr>
        <w:t>（二）在设计中，采用预制混凝土技术方案，在重大、复杂工程中得到广泛</w:t>
      </w:r>
      <w:r>
        <w:rPr>
          <w:rFonts w:hint="eastAsia" w:ascii="宋体" w:hAnsi="宋体"/>
          <w:sz w:val="28"/>
          <w:szCs w:val="28"/>
          <w:lang w:val="en-US" w:eastAsia="zh-CN"/>
        </w:rPr>
        <w:t>推广</w:t>
      </w:r>
      <w:r>
        <w:rPr>
          <w:rFonts w:hint="eastAsia" w:ascii="宋体" w:hAnsi="宋体"/>
          <w:sz w:val="28"/>
          <w:szCs w:val="28"/>
        </w:rPr>
        <w:t>应用；</w:t>
      </w:r>
    </w:p>
    <w:p w14:paraId="5225F487">
      <w:pPr>
        <w:adjustRightInd w:val="0"/>
        <w:snapToGrid w:val="0"/>
        <w:spacing w:line="360" w:lineRule="auto"/>
        <w:ind w:firstLine="560" w:firstLineChars="200"/>
        <w:rPr>
          <w:rFonts w:ascii="宋体" w:hAnsi="宋体"/>
          <w:sz w:val="28"/>
          <w:szCs w:val="28"/>
        </w:rPr>
      </w:pPr>
      <w:r>
        <w:rPr>
          <w:rFonts w:hint="eastAsia" w:ascii="宋体" w:hAnsi="宋体"/>
          <w:sz w:val="28"/>
          <w:szCs w:val="28"/>
        </w:rPr>
        <w:t>（三）通过研发或改进生产、施工工艺或设备，提高了预制混凝土制品生产质量、施工效率和技术水平；</w:t>
      </w:r>
    </w:p>
    <w:p w14:paraId="1522C1E0">
      <w:pPr>
        <w:adjustRightInd w:val="0"/>
        <w:snapToGrid w:val="0"/>
        <w:spacing w:line="360" w:lineRule="auto"/>
        <w:ind w:firstLine="560" w:firstLineChars="200"/>
        <w:rPr>
          <w:rFonts w:ascii="宋体" w:hAnsi="宋体"/>
          <w:sz w:val="28"/>
          <w:szCs w:val="28"/>
        </w:rPr>
      </w:pPr>
      <w:r>
        <w:rPr>
          <w:rFonts w:hint="eastAsia" w:ascii="宋体" w:hAnsi="宋体"/>
          <w:sz w:val="28"/>
          <w:szCs w:val="28"/>
        </w:rPr>
        <w:t>（四）对预制混凝土技术的基础理论和应用进行研究，取得了高水平的研究成果，提高了预制混凝土制品行业的技术水平，扩大了预制混凝土技术的应用范围。</w:t>
      </w:r>
    </w:p>
    <w:p w14:paraId="71747840">
      <w:pPr>
        <w:adjustRightInd w:val="0"/>
        <w:snapToGrid w:val="0"/>
        <w:spacing w:line="360" w:lineRule="auto"/>
        <w:ind w:firstLine="560" w:firstLineChars="200"/>
        <w:rPr>
          <w:rFonts w:ascii="宋体" w:hAnsi="宋体"/>
          <w:sz w:val="28"/>
          <w:szCs w:val="28"/>
        </w:rPr>
      </w:pPr>
      <w:r>
        <w:rPr>
          <w:rFonts w:hint="eastAsia" w:ascii="宋体" w:hAnsi="宋体"/>
          <w:sz w:val="28"/>
          <w:szCs w:val="28"/>
        </w:rPr>
        <w:t>建华</w:t>
      </w:r>
      <w:r>
        <w:rPr>
          <w:rFonts w:hint="eastAsia" w:ascii="宋体" w:hAnsi="宋体"/>
          <w:sz w:val="28"/>
          <w:szCs w:val="28"/>
          <w:lang w:val="en-US" w:eastAsia="zh-CN"/>
        </w:rPr>
        <w:t>控股</w:t>
      </w:r>
      <w:r>
        <w:rPr>
          <w:rFonts w:hint="eastAsia" w:ascii="宋体" w:hAnsi="宋体"/>
          <w:sz w:val="28"/>
          <w:szCs w:val="28"/>
        </w:rPr>
        <w:t>及其子公司、关联公司不得参加申报。</w:t>
      </w:r>
    </w:p>
    <w:p w14:paraId="1C363334">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第七条</w:t>
      </w:r>
      <w:r>
        <w:rPr>
          <w:rFonts w:ascii="宋体" w:hAnsi="宋体"/>
          <w:sz w:val="28"/>
          <w:szCs w:val="28"/>
        </w:rPr>
        <w:t xml:space="preserve">  </w:t>
      </w:r>
      <w:r>
        <w:rPr>
          <w:rFonts w:hint="eastAsia" w:ascii="宋体" w:hAnsi="宋体"/>
          <w:sz w:val="28"/>
          <w:szCs w:val="28"/>
        </w:rPr>
        <w:t>科研院所、高校、设计院、制造企业、施工企业、建华</w:t>
      </w:r>
      <w:r>
        <w:rPr>
          <w:rFonts w:hint="eastAsia" w:ascii="宋体" w:hAnsi="宋体"/>
          <w:sz w:val="28"/>
          <w:szCs w:val="28"/>
          <w:lang w:val="en-US" w:eastAsia="zh-CN"/>
        </w:rPr>
        <w:t>控股</w:t>
      </w:r>
      <w:r>
        <w:rPr>
          <w:rFonts w:hint="eastAsia" w:ascii="宋体" w:hAnsi="宋体"/>
          <w:sz w:val="28"/>
          <w:szCs w:val="28"/>
        </w:rPr>
        <w:t>及其子公司</w:t>
      </w:r>
      <w:r>
        <w:rPr>
          <w:rFonts w:hint="eastAsia" w:ascii="宋体" w:hAnsi="宋体"/>
          <w:sz w:val="28"/>
          <w:szCs w:val="28"/>
          <w:lang w:val="en-US" w:eastAsia="zh-CN"/>
        </w:rPr>
        <w:t>和</w:t>
      </w:r>
      <w:r>
        <w:rPr>
          <w:rFonts w:hint="eastAsia" w:ascii="宋体" w:hAnsi="宋体"/>
          <w:sz w:val="28"/>
          <w:szCs w:val="28"/>
        </w:rPr>
        <w:t>关联公司等单位，“建华工程奖”奖励委员会院士、委员、行业专家等个人，可以推荐成果申报“建华工程奖”。</w:t>
      </w:r>
    </w:p>
    <w:p w14:paraId="6657006B">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第八条</w:t>
      </w:r>
      <w:r>
        <w:rPr>
          <w:rFonts w:ascii="宋体" w:hAnsi="宋体"/>
          <w:sz w:val="28"/>
          <w:szCs w:val="28"/>
        </w:rPr>
        <w:t xml:space="preserve">  </w:t>
      </w:r>
      <w:r>
        <w:rPr>
          <w:rFonts w:hint="eastAsia" w:ascii="宋体" w:hAnsi="宋体"/>
          <w:sz w:val="28"/>
          <w:szCs w:val="28"/>
        </w:rPr>
        <w:t>申报成果的完成人应为成果的主要完成人。</w:t>
      </w:r>
    </w:p>
    <w:p w14:paraId="32B8015B">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第九条</w:t>
      </w:r>
      <w:r>
        <w:rPr>
          <w:rFonts w:ascii="宋体" w:hAnsi="宋体"/>
          <w:sz w:val="28"/>
          <w:szCs w:val="28"/>
        </w:rPr>
        <w:t xml:space="preserve">  </w:t>
      </w:r>
      <w:r>
        <w:rPr>
          <w:rFonts w:hint="eastAsia" w:ascii="宋体" w:hAnsi="宋体"/>
          <w:sz w:val="28"/>
          <w:szCs w:val="28"/>
        </w:rPr>
        <w:t>有下列情形之一者，申报成果不予受理：</w:t>
      </w:r>
    </w:p>
    <w:p w14:paraId="5818DCE5">
      <w:pPr>
        <w:adjustRightInd w:val="0"/>
        <w:snapToGrid w:val="0"/>
        <w:spacing w:line="360" w:lineRule="auto"/>
        <w:rPr>
          <w:rFonts w:ascii="宋体" w:hAnsi="宋体"/>
          <w:sz w:val="28"/>
          <w:szCs w:val="28"/>
        </w:rPr>
      </w:pPr>
      <w:r>
        <w:rPr>
          <w:rFonts w:hint="eastAsia" w:ascii="宋体" w:hAnsi="宋体"/>
          <w:sz w:val="28"/>
          <w:szCs w:val="28"/>
        </w:rPr>
        <w:t>　　（一）违反国家法律、法规，损害国家、社会和公众利益；</w:t>
      </w:r>
    </w:p>
    <w:p w14:paraId="4CDF190E">
      <w:pPr>
        <w:adjustRightInd w:val="0"/>
        <w:snapToGrid w:val="0"/>
        <w:spacing w:line="360" w:lineRule="auto"/>
        <w:rPr>
          <w:rFonts w:ascii="宋体" w:hAnsi="宋体"/>
          <w:sz w:val="28"/>
          <w:szCs w:val="28"/>
        </w:rPr>
      </w:pPr>
      <w:r>
        <w:rPr>
          <w:rFonts w:hint="eastAsia" w:ascii="宋体" w:hAnsi="宋体"/>
          <w:sz w:val="28"/>
          <w:szCs w:val="28"/>
        </w:rPr>
        <w:t>　　（二）非法垄断技术，妨碍本行业科技进步；</w:t>
      </w:r>
    </w:p>
    <w:p w14:paraId="25D0FC17">
      <w:pPr>
        <w:adjustRightInd w:val="0"/>
        <w:snapToGrid w:val="0"/>
        <w:spacing w:line="360" w:lineRule="auto"/>
        <w:rPr>
          <w:rFonts w:ascii="宋体" w:hAnsi="宋体"/>
          <w:sz w:val="28"/>
          <w:szCs w:val="28"/>
        </w:rPr>
      </w:pPr>
      <w:r>
        <w:rPr>
          <w:rFonts w:hint="eastAsia" w:ascii="宋体" w:hAnsi="宋体"/>
          <w:sz w:val="28"/>
          <w:szCs w:val="28"/>
        </w:rPr>
        <w:t>　　（三）采用恶意手段，侵害其他企业和个人合法权益；</w:t>
      </w:r>
    </w:p>
    <w:p w14:paraId="5D63B534">
      <w:pPr>
        <w:adjustRightInd w:val="0"/>
        <w:snapToGrid w:val="0"/>
        <w:spacing w:line="360" w:lineRule="auto"/>
        <w:ind w:firstLine="560" w:firstLineChars="200"/>
        <w:rPr>
          <w:rFonts w:ascii="宋体" w:hAnsi="宋体"/>
          <w:sz w:val="28"/>
          <w:szCs w:val="28"/>
        </w:rPr>
      </w:pPr>
      <w:r>
        <w:rPr>
          <w:rFonts w:hint="eastAsia" w:ascii="宋体" w:hAnsi="宋体"/>
          <w:sz w:val="28"/>
          <w:szCs w:val="28"/>
        </w:rPr>
        <w:t>（四）已获得国家、省部级科技奖励的项目；</w:t>
      </w:r>
    </w:p>
    <w:p w14:paraId="552B643B">
      <w:pPr>
        <w:adjustRightInd w:val="0"/>
        <w:snapToGrid w:val="0"/>
        <w:spacing w:line="360" w:lineRule="auto"/>
        <w:ind w:firstLine="560" w:firstLineChars="200"/>
        <w:rPr>
          <w:rFonts w:ascii="宋体" w:hAnsi="宋体"/>
          <w:sz w:val="28"/>
          <w:szCs w:val="28"/>
        </w:rPr>
      </w:pPr>
      <w:r>
        <w:rPr>
          <w:rFonts w:hint="eastAsia" w:ascii="宋体" w:hAnsi="宋体"/>
          <w:sz w:val="28"/>
          <w:szCs w:val="28"/>
        </w:rPr>
        <w:t>（五）剽窃、抄袭他人的成果；</w:t>
      </w:r>
    </w:p>
    <w:p w14:paraId="7CB10B30">
      <w:pPr>
        <w:adjustRightInd w:val="0"/>
        <w:snapToGrid w:val="0"/>
        <w:spacing w:line="360" w:lineRule="auto"/>
        <w:ind w:firstLine="560" w:firstLineChars="200"/>
        <w:rPr>
          <w:rFonts w:ascii="宋体" w:hAnsi="宋体"/>
          <w:sz w:val="28"/>
          <w:szCs w:val="28"/>
        </w:rPr>
      </w:pPr>
      <w:r>
        <w:rPr>
          <w:rFonts w:hint="eastAsia" w:ascii="宋体" w:hAnsi="宋体"/>
          <w:sz w:val="28"/>
          <w:szCs w:val="28"/>
        </w:rPr>
        <w:t>（六）存在其他问题。</w:t>
      </w:r>
    </w:p>
    <w:p w14:paraId="2F0735E3">
      <w:pPr>
        <w:adjustRightInd w:val="0"/>
        <w:snapToGrid w:val="0"/>
        <w:spacing w:line="360" w:lineRule="auto"/>
        <w:rPr>
          <w:rFonts w:ascii="宋体" w:hAnsi="宋体"/>
          <w:sz w:val="28"/>
          <w:szCs w:val="28"/>
        </w:rPr>
      </w:pPr>
    </w:p>
    <w:p w14:paraId="42AB0C46">
      <w:pPr>
        <w:adjustRightInd w:val="0"/>
        <w:snapToGrid w:val="0"/>
        <w:spacing w:line="360" w:lineRule="auto"/>
        <w:jc w:val="center"/>
        <w:rPr>
          <w:rFonts w:ascii="宋体" w:hAnsi="宋体"/>
          <w:b/>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评审与授奖</w:t>
      </w:r>
    </w:p>
    <w:p w14:paraId="3702A5DB">
      <w:pPr>
        <w:adjustRightInd w:val="0"/>
        <w:snapToGrid w:val="0"/>
        <w:spacing w:line="360" w:lineRule="auto"/>
        <w:rPr>
          <w:rFonts w:ascii="宋体" w:hAnsi="宋体"/>
          <w:b/>
          <w:sz w:val="28"/>
          <w:szCs w:val="28"/>
        </w:rPr>
      </w:pPr>
    </w:p>
    <w:p w14:paraId="7BA1A6E2">
      <w:pPr>
        <w:adjustRightInd w:val="0"/>
        <w:snapToGrid w:val="0"/>
        <w:spacing w:line="360" w:lineRule="auto"/>
        <w:ind w:firstLine="562" w:firstLineChars="200"/>
        <w:rPr>
          <w:rFonts w:ascii="宋体" w:hAnsi="宋体"/>
          <w:sz w:val="28"/>
          <w:szCs w:val="28"/>
        </w:rPr>
      </w:pPr>
      <w:r>
        <w:rPr>
          <w:rFonts w:hint="eastAsia" w:ascii="宋体" w:hAnsi="宋体"/>
          <w:b/>
          <w:sz w:val="28"/>
          <w:szCs w:val="28"/>
        </w:rPr>
        <w:t xml:space="preserve">第十条  </w:t>
      </w:r>
      <w:r>
        <w:rPr>
          <w:rFonts w:hint="eastAsia" w:ascii="宋体" w:hAnsi="宋体"/>
          <w:sz w:val="28"/>
          <w:szCs w:val="28"/>
        </w:rPr>
        <w:t>本奖项每年评审一次。设一等奖、二等奖和三等奖3个等级。</w:t>
      </w:r>
    </w:p>
    <w:p w14:paraId="038C34A0">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第十一条</w:t>
      </w:r>
      <w:r>
        <w:rPr>
          <w:rFonts w:ascii="宋体" w:hAnsi="宋体"/>
          <w:sz w:val="28"/>
          <w:szCs w:val="28"/>
        </w:rPr>
        <w:t xml:space="preserve">  </w:t>
      </w:r>
      <w:r>
        <w:rPr>
          <w:rFonts w:hint="eastAsia" w:ascii="宋体" w:hAnsi="宋体"/>
          <w:sz w:val="28"/>
          <w:szCs w:val="28"/>
        </w:rPr>
        <w:t>评审机构</w:t>
      </w:r>
    </w:p>
    <w:p w14:paraId="34CB8FCE">
      <w:pPr>
        <w:adjustRightInd w:val="0"/>
        <w:snapToGrid w:val="0"/>
        <w:spacing w:line="360" w:lineRule="auto"/>
        <w:ind w:firstLine="560" w:firstLineChars="200"/>
        <w:rPr>
          <w:rFonts w:ascii="宋体" w:hAnsi="宋体"/>
          <w:sz w:val="28"/>
          <w:szCs w:val="28"/>
        </w:rPr>
      </w:pPr>
      <w:r>
        <w:rPr>
          <w:rFonts w:hint="eastAsia" w:ascii="宋体" w:hAnsi="宋体"/>
          <w:sz w:val="28"/>
          <w:szCs w:val="28"/>
        </w:rPr>
        <w:t>经奖励委员会核准，由中国工程院院士、本行业及相关行业专家组成的评审委员会，负责本奖项的评审。评审委员会设主任委员</w:t>
      </w:r>
      <w:r>
        <w:rPr>
          <w:rFonts w:ascii="宋体" w:hAnsi="宋体"/>
          <w:sz w:val="28"/>
          <w:szCs w:val="28"/>
        </w:rPr>
        <w:t>1</w:t>
      </w:r>
      <w:r>
        <w:rPr>
          <w:rFonts w:hint="eastAsia" w:ascii="宋体" w:hAnsi="宋体"/>
          <w:sz w:val="28"/>
          <w:szCs w:val="28"/>
        </w:rPr>
        <w:t>人，委员若干人（每年度评审委员会委员从评审专家库中选取）。</w:t>
      </w:r>
    </w:p>
    <w:p w14:paraId="005895BA">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第十二条</w:t>
      </w:r>
      <w:r>
        <w:rPr>
          <w:rFonts w:ascii="宋体" w:hAnsi="宋体"/>
          <w:sz w:val="28"/>
          <w:szCs w:val="28"/>
        </w:rPr>
        <w:t xml:space="preserve">  </w:t>
      </w:r>
      <w:r>
        <w:rPr>
          <w:rFonts w:hint="eastAsia" w:ascii="宋体" w:hAnsi="宋体"/>
          <w:sz w:val="28"/>
          <w:szCs w:val="28"/>
        </w:rPr>
        <w:t>评审流程</w:t>
      </w:r>
    </w:p>
    <w:p w14:paraId="6174A369">
      <w:pPr>
        <w:adjustRightInd w:val="0"/>
        <w:snapToGrid w:val="0"/>
        <w:spacing w:line="360" w:lineRule="auto"/>
        <w:ind w:firstLine="560" w:firstLineChars="200"/>
        <w:rPr>
          <w:rFonts w:ascii="宋体" w:hAnsi="宋体"/>
          <w:sz w:val="28"/>
          <w:szCs w:val="28"/>
        </w:rPr>
      </w:pPr>
      <w:r>
        <w:rPr>
          <w:rFonts w:hint="eastAsia" w:ascii="宋体" w:hAnsi="宋体"/>
          <w:sz w:val="28"/>
          <w:szCs w:val="28"/>
        </w:rPr>
        <w:t>评审分为预审、专业组评审和综合组评审。其中专业组评审根据参评成果的类型，将其分为若干组，由与该组专业相同或相近的专家组成的专业组进行评审。综合组评审根据各专业组评审结果对项目进行综合评审，评审出拟授奖成果及拟授奖等级。</w:t>
      </w:r>
    </w:p>
    <w:p w14:paraId="52ADDEBE">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第十三条</w:t>
      </w:r>
      <w:r>
        <w:rPr>
          <w:rFonts w:ascii="宋体" w:hAnsi="宋体"/>
          <w:sz w:val="28"/>
          <w:szCs w:val="28"/>
        </w:rPr>
        <w:t xml:space="preserve">  </w:t>
      </w:r>
      <w:r>
        <w:rPr>
          <w:rFonts w:hint="eastAsia" w:ascii="宋体" w:hAnsi="宋体"/>
          <w:sz w:val="28"/>
          <w:szCs w:val="28"/>
        </w:rPr>
        <w:t>评审标准</w:t>
      </w:r>
    </w:p>
    <w:p w14:paraId="734700F4">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 “建华工程奖”各奖励等级的评审标准如下：</w:t>
      </w:r>
    </w:p>
    <w:p w14:paraId="05FC79FE">
      <w:pPr>
        <w:adjustRightInd w:val="0"/>
        <w:snapToGrid w:val="0"/>
        <w:spacing w:line="360" w:lineRule="auto"/>
        <w:ind w:firstLine="560" w:firstLineChars="200"/>
        <w:rPr>
          <w:rFonts w:ascii="宋体" w:hAnsi="宋体"/>
          <w:sz w:val="28"/>
          <w:szCs w:val="28"/>
        </w:rPr>
      </w:pPr>
      <w:r>
        <w:rPr>
          <w:rFonts w:hint="eastAsia" w:ascii="宋体" w:hAnsi="宋体"/>
          <w:sz w:val="28"/>
          <w:szCs w:val="28"/>
        </w:rPr>
        <w:t>（一）一等奖：有重大创新，总体水平和主要技术指标达到或接近国际同类技术先进水平。推广应用好，可取得显著经济、社会和环境效益，对行业技术进步起到重大推动作用。</w:t>
      </w:r>
    </w:p>
    <w:p w14:paraId="41E0C7BC">
      <w:pPr>
        <w:adjustRightInd w:val="0"/>
        <w:snapToGrid w:val="0"/>
        <w:spacing w:line="360" w:lineRule="auto"/>
        <w:ind w:firstLine="560" w:firstLineChars="200"/>
        <w:rPr>
          <w:rFonts w:ascii="宋体" w:hAnsi="宋体"/>
          <w:sz w:val="28"/>
          <w:szCs w:val="28"/>
        </w:rPr>
      </w:pPr>
      <w:r>
        <w:rPr>
          <w:rFonts w:hint="eastAsia" w:ascii="宋体" w:hAnsi="宋体"/>
          <w:sz w:val="28"/>
          <w:szCs w:val="28"/>
        </w:rPr>
        <w:t>（二）二等奖：有较大创新，总体水平和主要技术指标达到国内同类技术领先水平。推广应用较好，可取得较大经济、社会和环境效益，对行业技术进步起到较大推动作用。</w:t>
      </w:r>
    </w:p>
    <w:p w14:paraId="675B558E">
      <w:pPr>
        <w:adjustRightInd w:val="0"/>
        <w:snapToGrid w:val="0"/>
        <w:spacing w:line="360" w:lineRule="auto"/>
        <w:ind w:firstLine="560" w:firstLineChars="200"/>
        <w:rPr>
          <w:rFonts w:ascii="宋体" w:hAnsi="宋体"/>
          <w:sz w:val="28"/>
          <w:szCs w:val="28"/>
        </w:rPr>
      </w:pPr>
      <w:r>
        <w:rPr>
          <w:rFonts w:hint="eastAsia" w:ascii="宋体" w:hAnsi="宋体"/>
          <w:sz w:val="28"/>
          <w:szCs w:val="28"/>
        </w:rPr>
        <w:t>（三）三等奖：有创新，总体水平和主要技术指标达到国内同类技术先进水平。推广应用较好，可取得一定的经济、社会和环境效益，对行业技术进步起到一定推动作用。</w:t>
      </w:r>
    </w:p>
    <w:p w14:paraId="35EE15C2">
      <w:pPr>
        <w:adjustRightInd w:val="0"/>
        <w:snapToGrid w:val="0"/>
        <w:spacing w:line="360" w:lineRule="auto"/>
        <w:ind w:firstLine="560" w:firstLineChars="200"/>
        <w:rPr>
          <w:rFonts w:ascii="宋体" w:hAnsi="宋体"/>
          <w:sz w:val="28"/>
          <w:szCs w:val="28"/>
        </w:rPr>
      </w:pPr>
      <w:r>
        <w:rPr>
          <w:rFonts w:hint="eastAsia" w:ascii="宋体" w:hAnsi="宋体"/>
          <w:sz w:val="28"/>
          <w:szCs w:val="28"/>
        </w:rPr>
        <w:t>（四）申报成果在技术、方法上创新显著，关键技术有重大突破，社会和经济效益显著，经三分之二评审专家推荐，并经奖励委员会审批通过，可授予特等奖。</w:t>
      </w:r>
    </w:p>
    <w:p w14:paraId="09C57FE8">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第十四条</w:t>
      </w:r>
      <w:r>
        <w:rPr>
          <w:rFonts w:hint="eastAsia" w:ascii="宋体" w:hAnsi="宋体"/>
          <w:sz w:val="28"/>
          <w:szCs w:val="28"/>
        </w:rPr>
        <w:t xml:space="preserve">  公示、异议及处理</w:t>
      </w:r>
    </w:p>
    <w:p w14:paraId="78C8A53E">
      <w:pPr>
        <w:adjustRightInd w:val="0"/>
        <w:snapToGrid w:val="0"/>
        <w:spacing w:line="360" w:lineRule="auto"/>
        <w:ind w:firstLine="560" w:firstLineChars="200"/>
        <w:rPr>
          <w:rFonts w:ascii="宋体" w:hAnsi="宋体"/>
          <w:sz w:val="28"/>
          <w:szCs w:val="28"/>
        </w:rPr>
      </w:pPr>
      <w:r>
        <w:rPr>
          <w:rFonts w:hint="eastAsia" w:ascii="宋体" w:hAnsi="宋体"/>
          <w:sz w:val="28"/>
          <w:szCs w:val="28"/>
        </w:rPr>
        <w:t>（一）“建华工程奖”评审工作实行公示、异议制度。评审结果通过“建华工程奖”官网、</w:t>
      </w:r>
      <w:r>
        <w:rPr>
          <w:rFonts w:hint="eastAsia" w:ascii="宋体" w:hAnsi="宋体"/>
          <w:sz w:val="28"/>
          <w:szCs w:val="28"/>
          <w:lang w:val="en-US" w:eastAsia="zh-CN"/>
        </w:rPr>
        <w:t>建华控股网站、有关</w:t>
      </w:r>
      <w:r>
        <w:rPr>
          <w:rFonts w:hint="eastAsia" w:ascii="宋体" w:hAnsi="宋体"/>
          <w:sz w:val="28"/>
          <w:szCs w:val="28"/>
        </w:rPr>
        <w:t>社会团体网站等相关媒体向社会进行公示，公示期为30天。任何单位或者个人对涉及成果完成单位、主要完成人、成果内容等持有异议的，应当在公示期内向奖励办实名制提出。除特殊情况外，逾期不予受理。</w:t>
      </w:r>
    </w:p>
    <w:p w14:paraId="4478440B">
      <w:pPr>
        <w:adjustRightInd w:val="0"/>
        <w:snapToGrid w:val="0"/>
        <w:spacing w:line="360" w:lineRule="auto"/>
        <w:ind w:firstLine="560" w:firstLineChars="200"/>
        <w:rPr>
          <w:rFonts w:ascii="宋体" w:hAnsi="宋体"/>
          <w:sz w:val="28"/>
          <w:szCs w:val="28"/>
        </w:rPr>
      </w:pPr>
      <w:r>
        <w:rPr>
          <w:rFonts w:hint="eastAsia" w:ascii="宋体" w:hAnsi="宋体"/>
          <w:sz w:val="28"/>
          <w:szCs w:val="28"/>
        </w:rPr>
        <w:t>（二）提出异议的单位、个人应表明真实身份，并提供必要的证明文件。以单位名义提出异议的，应当加盖本单位公章；以个人名义提出异议的，应当在异议材料上注明本人所在单位、真实姓名。</w:t>
      </w:r>
    </w:p>
    <w:p w14:paraId="54D73209">
      <w:pPr>
        <w:adjustRightInd w:val="0"/>
        <w:snapToGrid w:val="0"/>
        <w:spacing w:line="360" w:lineRule="auto"/>
        <w:ind w:firstLine="560" w:firstLineChars="200"/>
        <w:rPr>
          <w:rFonts w:ascii="宋体" w:hAnsi="宋体"/>
          <w:sz w:val="28"/>
          <w:szCs w:val="28"/>
        </w:rPr>
      </w:pPr>
      <w:r>
        <w:rPr>
          <w:rFonts w:hint="eastAsia" w:ascii="宋体" w:hAnsi="宋体"/>
          <w:sz w:val="28"/>
          <w:szCs w:val="28"/>
        </w:rPr>
        <w:t>（三）奖励办公室在接到异议材料后，应当对异议内容进行审查，如果异议内容属于本条第一款所述情况，并能提供充分证据的，予以受理。</w:t>
      </w:r>
    </w:p>
    <w:p w14:paraId="5EA76D84">
      <w:pPr>
        <w:adjustRightInd w:val="0"/>
        <w:snapToGrid w:val="0"/>
        <w:spacing w:line="360" w:lineRule="auto"/>
        <w:ind w:firstLine="560" w:firstLineChars="200"/>
        <w:rPr>
          <w:rFonts w:ascii="宋体" w:hAnsi="宋体"/>
          <w:sz w:val="28"/>
          <w:szCs w:val="28"/>
        </w:rPr>
      </w:pPr>
      <w:r>
        <w:rPr>
          <w:rFonts w:hint="eastAsia" w:ascii="宋体" w:hAnsi="宋体"/>
          <w:sz w:val="28"/>
          <w:szCs w:val="28"/>
        </w:rPr>
        <w:t>（四）完成单位接到奖励办公室的异议通知后，应当在10个工作日内核实异议材料，提出答复意见。未在规定时间内提交答复意见的，不提交复议，撤消本年度授奖资格。</w:t>
      </w:r>
    </w:p>
    <w:p w14:paraId="58215085">
      <w:pPr>
        <w:snapToGrid w:val="0"/>
        <w:spacing w:line="360" w:lineRule="auto"/>
        <w:ind w:firstLine="562" w:firstLineChars="200"/>
        <w:rPr>
          <w:rFonts w:ascii="宋体" w:hAnsi="宋体"/>
          <w:sz w:val="28"/>
          <w:szCs w:val="28"/>
        </w:rPr>
      </w:pPr>
      <w:r>
        <w:rPr>
          <w:rFonts w:hint="eastAsia" w:ascii="宋体" w:hAnsi="宋体" w:cs="仿宋"/>
          <w:b/>
          <w:sz w:val="28"/>
          <w:szCs w:val="28"/>
        </w:rPr>
        <w:t xml:space="preserve">第十五条  </w:t>
      </w:r>
      <w:r>
        <w:rPr>
          <w:rFonts w:hint="eastAsia" w:ascii="宋体" w:hAnsi="宋体"/>
          <w:sz w:val="28"/>
          <w:szCs w:val="28"/>
        </w:rPr>
        <w:t>奖励委员会对公示期结束后没有异议或异议处理完毕无问题的拟授奖成果及拟授奖等级进行审核和批准，并发布奖励决定，确定正式授奖成果及授奖等级。同时，奖励办公室征求成果完成单位意见，成果完成单位同意授奖的，予以授奖。</w:t>
      </w:r>
    </w:p>
    <w:p w14:paraId="111AE9EB">
      <w:pPr>
        <w:adjustRightInd w:val="0"/>
        <w:snapToGrid w:val="0"/>
        <w:spacing w:line="360" w:lineRule="auto"/>
        <w:ind w:firstLine="560" w:firstLineChars="200"/>
        <w:rPr>
          <w:rFonts w:ascii="宋体" w:hAnsi="宋体"/>
          <w:sz w:val="28"/>
          <w:szCs w:val="28"/>
        </w:rPr>
      </w:pPr>
      <w:r>
        <w:rPr>
          <w:rFonts w:hint="eastAsia" w:ascii="宋体" w:hAnsi="宋体"/>
          <w:sz w:val="28"/>
          <w:szCs w:val="28"/>
        </w:rPr>
        <w:t>（一）对各获奖成果，颁发“建华工程奖”奖杯、奖牌及证书。</w:t>
      </w:r>
    </w:p>
    <w:p w14:paraId="508C898D">
      <w:pPr>
        <w:adjustRightInd w:val="0"/>
        <w:snapToGrid w:val="0"/>
        <w:spacing w:line="360" w:lineRule="auto"/>
        <w:ind w:firstLine="560" w:firstLineChars="200"/>
        <w:rPr>
          <w:rFonts w:ascii="宋体" w:hAnsi="宋体"/>
          <w:sz w:val="28"/>
          <w:szCs w:val="28"/>
        </w:rPr>
      </w:pPr>
      <w:r>
        <w:rPr>
          <w:rFonts w:hint="eastAsia" w:ascii="宋体" w:hAnsi="宋体"/>
          <w:sz w:val="28"/>
          <w:szCs w:val="28"/>
        </w:rPr>
        <w:t>（二）对各获奖成果颁发奖金，其中一、二、三等奖奖金依次为</w:t>
      </w:r>
      <w:r>
        <w:rPr>
          <w:rFonts w:ascii="宋体" w:hAnsi="宋体"/>
          <w:sz w:val="28"/>
          <w:szCs w:val="28"/>
        </w:rPr>
        <w:t>10</w:t>
      </w:r>
      <w:r>
        <w:rPr>
          <w:rFonts w:hint="eastAsia" w:ascii="宋体" w:hAnsi="宋体"/>
          <w:sz w:val="28"/>
          <w:szCs w:val="28"/>
        </w:rPr>
        <w:t>万元、</w:t>
      </w:r>
      <w:r>
        <w:rPr>
          <w:rFonts w:ascii="宋体" w:hAnsi="宋体"/>
          <w:sz w:val="28"/>
          <w:szCs w:val="28"/>
        </w:rPr>
        <w:t>5</w:t>
      </w:r>
      <w:r>
        <w:rPr>
          <w:rFonts w:hint="eastAsia" w:ascii="宋体" w:hAnsi="宋体"/>
          <w:sz w:val="28"/>
          <w:szCs w:val="28"/>
        </w:rPr>
        <w:t>万元、</w:t>
      </w:r>
      <w:r>
        <w:rPr>
          <w:rFonts w:ascii="宋体" w:hAnsi="宋体"/>
          <w:sz w:val="28"/>
          <w:szCs w:val="28"/>
        </w:rPr>
        <w:t>3</w:t>
      </w:r>
      <w:r>
        <w:rPr>
          <w:rFonts w:hint="eastAsia" w:ascii="宋体" w:hAnsi="宋体"/>
          <w:sz w:val="28"/>
          <w:szCs w:val="28"/>
        </w:rPr>
        <w:t>万元，特等奖奖金为3</w:t>
      </w:r>
      <w:r>
        <w:rPr>
          <w:rFonts w:ascii="宋体" w:hAnsi="宋体"/>
          <w:sz w:val="28"/>
          <w:szCs w:val="28"/>
        </w:rPr>
        <w:t>0万元</w:t>
      </w:r>
      <w:r>
        <w:rPr>
          <w:rFonts w:hint="eastAsia" w:ascii="宋体" w:hAnsi="宋体"/>
          <w:sz w:val="28"/>
          <w:szCs w:val="28"/>
        </w:rPr>
        <w:t>。</w:t>
      </w:r>
    </w:p>
    <w:p w14:paraId="3A85D45E">
      <w:pPr>
        <w:adjustRightInd w:val="0"/>
        <w:snapToGrid w:val="0"/>
        <w:spacing w:line="360" w:lineRule="auto"/>
        <w:ind w:firstLine="560" w:firstLineChars="200"/>
        <w:rPr>
          <w:rFonts w:ascii="宋体" w:hAnsi="宋体"/>
          <w:sz w:val="28"/>
          <w:szCs w:val="28"/>
        </w:rPr>
      </w:pPr>
      <w:r>
        <w:rPr>
          <w:rFonts w:hint="eastAsia" w:ascii="宋体" w:hAnsi="宋体"/>
          <w:sz w:val="28"/>
          <w:szCs w:val="28"/>
        </w:rPr>
        <w:t>（三）“建华工程奖”官方网站上将宣传、介绍年度获奖成果。“建华工程奖”奖励办公室还将不定期组织出版《“建华工程奖”成果汇编》，集中展示优秀获奖成果。</w:t>
      </w:r>
    </w:p>
    <w:p w14:paraId="3B30F470">
      <w:pPr>
        <w:adjustRightInd w:val="0"/>
        <w:snapToGrid w:val="0"/>
        <w:spacing w:line="360" w:lineRule="auto"/>
        <w:ind w:firstLine="562" w:firstLineChars="200"/>
        <w:rPr>
          <w:rFonts w:ascii="宋体"/>
          <w:sz w:val="28"/>
          <w:szCs w:val="28"/>
        </w:rPr>
      </w:pPr>
      <w:r>
        <w:rPr>
          <w:rFonts w:hint="eastAsia" w:ascii="宋体" w:hAnsi="宋体"/>
          <w:b/>
          <w:sz w:val="28"/>
          <w:szCs w:val="28"/>
        </w:rPr>
        <w:t>第十六条</w:t>
      </w:r>
      <w:r>
        <w:rPr>
          <w:rFonts w:ascii="宋体" w:hAnsi="宋体"/>
          <w:sz w:val="28"/>
          <w:szCs w:val="28"/>
        </w:rPr>
        <w:t xml:space="preserve">  </w:t>
      </w:r>
      <w:r>
        <w:rPr>
          <w:rFonts w:hint="eastAsia" w:ascii="宋体" w:hAnsi="宋体"/>
          <w:sz w:val="28"/>
          <w:szCs w:val="28"/>
        </w:rPr>
        <w:t>授奖</w:t>
      </w:r>
    </w:p>
    <w:p w14:paraId="601E41CE">
      <w:pPr>
        <w:adjustRightInd w:val="0"/>
        <w:snapToGrid w:val="0"/>
        <w:spacing w:line="360" w:lineRule="auto"/>
        <w:ind w:firstLine="560" w:firstLineChars="200"/>
        <w:rPr>
          <w:rFonts w:ascii="宋体"/>
          <w:sz w:val="28"/>
          <w:szCs w:val="28"/>
        </w:rPr>
      </w:pPr>
      <w:r>
        <w:rPr>
          <w:rFonts w:hint="eastAsia" w:ascii="宋体" w:hAnsi="宋体"/>
          <w:sz w:val="28"/>
          <w:szCs w:val="28"/>
        </w:rPr>
        <w:t>定期举行授奖仪式，邀请相关部委、行业学</w:t>
      </w:r>
      <w:r>
        <w:rPr>
          <w:rFonts w:hint="eastAsia" w:ascii="宋体" w:hAnsi="宋体"/>
          <w:sz w:val="28"/>
          <w:szCs w:val="28"/>
          <w:lang w:eastAsia="zh-CN"/>
        </w:rPr>
        <w:t>（</w:t>
      </w:r>
      <w:r>
        <w:rPr>
          <w:rFonts w:hint="eastAsia" w:ascii="宋体" w:hAnsi="宋体"/>
          <w:sz w:val="28"/>
          <w:szCs w:val="28"/>
        </w:rPr>
        <w:t>协</w:t>
      </w:r>
      <w:r>
        <w:rPr>
          <w:rFonts w:hint="eastAsia" w:ascii="宋体" w:hAnsi="宋体"/>
          <w:sz w:val="28"/>
          <w:szCs w:val="28"/>
          <w:lang w:eastAsia="zh-CN"/>
        </w:rPr>
        <w:t>）</w:t>
      </w:r>
      <w:r>
        <w:rPr>
          <w:rFonts w:hint="eastAsia" w:ascii="宋体" w:hAnsi="宋体"/>
          <w:sz w:val="28"/>
          <w:szCs w:val="28"/>
        </w:rPr>
        <w:t>会、高校、科研院所及建华</w:t>
      </w:r>
      <w:r>
        <w:rPr>
          <w:rFonts w:hint="eastAsia" w:ascii="宋体" w:hAnsi="宋体"/>
          <w:sz w:val="28"/>
          <w:szCs w:val="28"/>
          <w:lang w:val="en-US" w:eastAsia="zh-CN"/>
        </w:rPr>
        <w:t>控股</w:t>
      </w:r>
      <w:r>
        <w:rPr>
          <w:rFonts w:hint="eastAsia" w:ascii="宋体" w:hAnsi="宋体"/>
          <w:sz w:val="28"/>
          <w:szCs w:val="28"/>
        </w:rPr>
        <w:t>的有关领导</w:t>
      </w:r>
      <w:bookmarkStart w:id="0" w:name="_GoBack"/>
      <w:bookmarkEnd w:id="0"/>
      <w:r>
        <w:rPr>
          <w:rFonts w:hint="eastAsia" w:ascii="宋体" w:hAnsi="宋体"/>
          <w:sz w:val="28"/>
          <w:szCs w:val="28"/>
        </w:rPr>
        <w:t>参加。授奖仪式举行的时间和地点</w:t>
      </w:r>
      <w:r>
        <w:rPr>
          <w:rFonts w:hint="eastAsia" w:ascii="宋体" w:hAnsi="宋体"/>
          <w:sz w:val="28"/>
          <w:szCs w:val="28"/>
          <w:lang w:eastAsia="zh-CN"/>
        </w:rPr>
        <w:t>，</w:t>
      </w:r>
      <w:r>
        <w:rPr>
          <w:rFonts w:hint="eastAsia" w:ascii="宋体" w:hAnsi="宋体"/>
          <w:sz w:val="28"/>
          <w:szCs w:val="28"/>
        </w:rPr>
        <w:t>视情况另行确定。</w:t>
      </w:r>
    </w:p>
    <w:p w14:paraId="03CF62DE">
      <w:pPr>
        <w:adjustRightInd w:val="0"/>
        <w:snapToGrid w:val="0"/>
        <w:spacing w:line="360" w:lineRule="auto"/>
        <w:rPr>
          <w:rFonts w:ascii="宋体" w:hAnsi="宋体"/>
          <w:sz w:val="28"/>
          <w:szCs w:val="28"/>
        </w:rPr>
      </w:pPr>
    </w:p>
    <w:p w14:paraId="461088C2">
      <w:pPr>
        <w:adjustRightInd w:val="0"/>
        <w:snapToGrid w:val="0"/>
        <w:spacing w:line="360" w:lineRule="auto"/>
        <w:jc w:val="center"/>
        <w:rPr>
          <w:rFonts w:ascii="宋体" w:hAns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附则</w:t>
      </w:r>
    </w:p>
    <w:p w14:paraId="035B5777">
      <w:pPr>
        <w:adjustRightInd w:val="0"/>
        <w:snapToGrid w:val="0"/>
        <w:spacing w:line="360" w:lineRule="auto"/>
        <w:rPr>
          <w:rFonts w:ascii="宋体" w:hAnsi="宋体"/>
          <w:b/>
          <w:sz w:val="28"/>
          <w:szCs w:val="28"/>
        </w:rPr>
      </w:pPr>
    </w:p>
    <w:p w14:paraId="623733AA">
      <w:pPr>
        <w:adjustRightInd w:val="0"/>
        <w:snapToGrid w:val="0"/>
        <w:spacing w:line="360" w:lineRule="auto"/>
        <w:ind w:firstLine="562" w:firstLineChars="200"/>
        <w:rPr>
          <w:rFonts w:ascii="宋体" w:hAnsi="宋体"/>
          <w:sz w:val="28"/>
          <w:szCs w:val="28"/>
        </w:rPr>
      </w:pPr>
      <w:r>
        <w:rPr>
          <w:rFonts w:hint="eastAsia" w:ascii="宋体" w:hAnsi="宋体"/>
          <w:b/>
          <w:sz w:val="28"/>
          <w:szCs w:val="28"/>
        </w:rPr>
        <w:t>第十七条</w:t>
      </w:r>
      <w:r>
        <w:rPr>
          <w:rFonts w:hint="eastAsia" w:ascii="宋体" w:hAnsi="宋体"/>
          <w:sz w:val="28"/>
          <w:szCs w:val="28"/>
        </w:rPr>
        <w:t xml:space="preserve">  本章程修订经“建华工程奖”奖励委员会第</w:t>
      </w:r>
      <w:r>
        <w:rPr>
          <w:rFonts w:hint="eastAsia" w:ascii="宋体" w:hAnsi="宋体"/>
          <w:sz w:val="28"/>
          <w:szCs w:val="28"/>
          <w:lang w:val="en-US" w:eastAsia="zh-CN"/>
        </w:rPr>
        <w:t>九</w:t>
      </w:r>
      <w:r>
        <w:rPr>
          <w:rFonts w:hint="eastAsia" w:ascii="宋体" w:hAnsi="宋体"/>
          <w:sz w:val="28"/>
          <w:szCs w:val="28"/>
        </w:rPr>
        <w:t>次会议讨论通过，自公布之日起实施，原有章程同时废止。</w:t>
      </w:r>
    </w:p>
    <w:p w14:paraId="7AC5ECE0">
      <w:pPr>
        <w:adjustRightInd w:val="0"/>
        <w:snapToGrid w:val="0"/>
        <w:spacing w:line="360" w:lineRule="auto"/>
        <w:ind w:firstLine="562" w:firstLineChars="200"/>
        <w:rPr>
          <w:rFonts w:hint="eastAsia" w:ascii="宋体" w:hAnsi="宋体"/>
          <w:sz w:val="28"/>
          <w:szCs w:val="28"/>
        </w:rPr>
      </w:pPr>
      <w:r>
        <w:rPr>
          <w:rFonts w:hint="eastAsia" w:ascii="宋体" w:hAnsi="宋体"/>
          <w:b/>
          <w:sz w:val="28"/>
          <w:szCs w:val="28"/>
        </w:rPr>
        <w:t>第十八条</w:t>
      </w:r>
      <w:r>
        <w:rPr>
          <w:rFonts w:hint="eastAsia" w:ascii="宋体" w:hAnsi="宋体"/>
          <w:sz w:val="28"/>
          <w:szCs w:val="28"/>
        </w:rPr>
        <w:t xml:space="preserve">  本章程解释权属“建华工程奖”奖励委员会。</w:t>
      </w:r>
    </w:p>
    <w:p w14:paraId="5D8F5ACA">
      <w:pPr>
        <w:adjustRightInd w:val="0"/>
        <w:snapToGrid w:val="0"/>
        <w:spacing w:line="360" w:lineRule="auto"/>
        <w:rPr>
          <w:rFonts w:hint="eastAsia" w:ascii="宋体" w:hAnsi="宋体"/>
          <w:sz w:val="28"/>
          <w:szCs w:val="28"/>
        </w:rPr>
      </w:pPr>
    </w:p>
    <w:p w14:paraId="696565A0">
      <w:pPr>
        <w:adjustRightInd w:val="0"/>
        <w:snapToGrid w:val="0"/>
        <w:spacing w:line="360" w:lineRule="auto"/>
        <w:ind w:firstLine="6160" w:firstLineChars="2200"/>
        <w:rPr>
          <w:rFonts w:hint="default" w:ascii="宋体" w:hAnsi="宋体" w:eastAsia="宋体"/>
          <w:sz w:val="28"/>
          <w:szCs w:val="28"/>
          <w:lang w:val="en-US" w:eastAsia="zh-CN"/>
        </w:rPr>
      </w:pPr>
      <w:r>
        <w:rPr>
          <w:rFonts w:hint="eastAsia" w:ascii="宋体" w:hAnsi="宋体"/>
          <w:sz w:val="28"/>
          <w:szCs w:val="28"/>
          <w:lang w:val="en-US" w:eastAsia="zh-CN"/>
        </w:rPr>
        <w:t>2023年9月10日</w:t>
      </w:r>
    </w:p>
    <w:sectPr>
      <w:footerReference r:id="rId3" w:type="default"/>
      <w:footerReference r:id="rId4" w:type="even"/>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7BCC">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2942FD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AD0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3F54FF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NTM0YjBjNmU1ZjhlOWY5YzAyOTQ3OTg1MmJlYWYifQ=="/>
  </w:docVars>
  <w:rsids>
    <w:rsidRoot w:val="005D70C0"/>
    <w:rsid w:val="00017386"/>
    <w:rsid w:val="000179AB"/>
    <w:rsid w:val="00034018"/>
    <w:rsid w:val="00065216"/>
    <w:rsid w:val="000B7A31"/>
    <w:rsid w:val="000E0B3E"/>
    <w:rsid w:val="001052AC"/>
    <w:rsid w:val="001131CD"/>
    <w:rsid w:val="00117FE8"/>
    <w:rsid w:val="001533FA"/>
    <w:rsid w:val="00166880"/>
    <w:rsid w:val="001737F6"/>
    <w:rsid w:val="00197513"/>
    <w:rsid w:val="001D0A7B"/>
    <w:rsid w:val="001E39F9"/>
    <w:rsid w:val="00200C98"/>
    <w:rsid w:val="002053A3"/>
    <w:rsid w:val="00242E9D"/>
    <w:rsid w:val="00275FA7"/>
    <w:rsid w:val="002A078E"/>
    <w:rsid w:val="002A2FA0"/>
    <w:rsid w:val="002F1113"/>
    <w:rsid w:val="002F2712"/>
    <w:rsid w:val="0038461E"/>
    <w:rsid w:val="00425BE1"/>
    <w:rsid w:val="00442946"/>
    <w:rsid w:val="004A47CB"/>
    <w:rsid w:val="005016FA"/>
    <w:rsid w:val="005B4804"/>
    <w:rsid w:val="005B7361"/>
    <w:rsid w:val="005D0C15"/>
    <w:rsid w:val="005D70C0"/>
    <w:rsid w:val="005E6B91"/>
    <w:rsid w:val="00626C0A"/>
    <w:rsid w:val="006545D1"/>
    <w:rsid w:val="006854F1"/>
    <w:rsid w:val="00686C3A"/>
    <w:rsid w:val="00687167"/>
    <w:rsid w:val="006B7EC4"/>
    <w:rsid w:val="00714E32"/>
    <w:rsid w:val="00724F55"/>
    <w:rsid w:val="007432FA"/>
    <w:rsid w:val="0075425C"/>
    <w:rsid w:val="00763B43"/>
    <w:rsid w:val="007760AD"/>
    <w:rsid w:val="0079617E"/>
    <w:rsid w:val="007B5DC8"/>
    <w:rsid w:val="007D7649"/>
    <w:rsid w:val="00813102"/>
    <w:rsid w:val="0089777C"/>
    <w:rsid w:val="008B6271"/>
    <w:rsid w:val="008C56D0"/>
    <w:rsid w:val="008D4B2F"/>
    <w:rsid w:val="008F5ABF"/>
    <w:rsid w:val="0092065B"/>
    <w:rsid w:val="00940FBA"/>
    <w:rsid w:val="0098134B"/>
    <w:rsid w:val="00A2432E"/>
    <w:rsid w:val="00A47792"/>
    <w:rsid w:val="00A54FA3"/>
    <w:rsid w:val="00A60EC7"/>
    <w:rsid w:val="00A85F83"/>
    <w:rsid w:val="00A912DF"/>
    <w:rsid w:val="00AD610E"/>
    <w:rsid w:val="00B24129"/>
    <w:rsid w:val="00B517AF"/>
    <w:rsid w:val="00B64281"/>
    <w:rsid w:val="00B7155E"/>
    <w:rsid w:val="00BE1698"/>
    <w:rsid w:val="00C4151F"/>
    <w:rsid w:val="00CC5773"/>
    <w:rsid w:val="00CD734D"/>
    <w:rsid w:val="00CF148F"/>
    <w:rsid w:val="00CF2643"/>
    <w:rsid w:val="00D025E9"/>
    <w:rsid w:val="00D155AC"/>
    <w:rsid w:val="00D162E1"/>
    <w:rsid w:val="00D505CF"/>
    <w:rsid w:val="00D96940"/>
    <w:rsid w:val="00DF1BF5"/>
    <w:rsid w:val="00E23C5D"/>
    <w:rsid w:val="00E274C7"/>
    <w:rsid w:val="00E66246"/>
    <w:rsid w:val="00E71C6B"/>
    <w:rsid w:val="00E96D77"/>
    <w:rsid w:val="00EA289A"/>
    <w:rsid w:val="00EB4540"/>
    <w:rsid w:val="00EB7561"/>
    <w:rsid w:val="00EC3C42"/>
    <w:rsid w:val="00EE00DF"/>
    <w:rsid w:val="00F44449"/>
    <w:rsid w:val="00F658FD"/>
    <w:rsid w:val="00F82C8E"/>
    <w:rsid w:val="00F96B17"/>
    <w:rsid w:val="00FB6051"/>
    <w:rsid w:val="0AFC1913"/>
    <w:rsid w:val="11062FAD"/>
    <w:rsid w:val="1C1E0A8B"/>
    <w:rsid w:val="257610B9"/>
    <w:rsid w:val="31F14A27"/>
    <w:rsid w:val="364C66D0"/>
    <w:rsid w:val="7B5340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6"/>
    <w:basedOn w:val="1"/>
    <w:link w:val="18"/>
    <w:qFormat/>
    <w:uiPriority w:val="9"/>
    <w:pPr>
      <w:widowControl/>
      <w:spacing w:before="100" w:beforeAutospacing="1" w:after="100" w:afterAutospacing="1"/>
      <w:jc w:val="left"/>
      <w:outlineLvl w:val="5"/>
    </w:pPr>
    <w:rPr>
      <w:rFonts w:ascii="宋体" w:hAnsi="宋体" w:cs="宋体"/>
      <w:b/>
      <w:bCs/>
      <w:kern w:val="0"/>
      <w:sz w:val="15"/>
      <w:szCs w:val="15"/>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Balloon Text"/>
    <w:basedOn w:val="1"/>
    <w:link w:val="15"/>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7"/>
    <w:uiPriority w:val="99"/>
    <w:rPr>
      <w:b/>
      <w:bCs/>
    </w:rPr>
  </w:style>
  <w:style w:type="character" w:styleId="11">
    <w:name w:val="page number"/>
    <w:basedOn w:val="10"/>
    <w:qFormat/>
    <w:uiPriority w:val="99"/>
    <w:rPr>
      <w:rFonts w:cs="Times New Roman"/>
    </w:rPr>
  </w:style>
  <w:style w:type="character" w:styleId="12">
    <w:name w:val="annotation reference"/>
    <w:basedOn w:val="10"/>
    <w:uiPriority w:val="99"/>
    <w:rPr>
      <w:rFonts w:cs="Times New Roman"/>
      <w:sz w:val="21"/>
      <w:szCs w:val="21"/>
    </w:rPr>
  </w:style>
  <w:style w:type="character" w:customStyle="1" w:styleId="13">
    <w:name w:val="页眉 字符"/>
    <w:basedOn w:val="10"/>
    <w:link w:val="6"/>
    <w:qFormat/>
    <w:uiPriority w:val="99"/>
    <w:rPr>
      <w:rFonts w:cs="Times New Roman"/>
      <w:sz w:val="18"/>
      <w:szCs w:val="18"/>
    </w:rPr>
  </w:style>
  <w:style w:type="character" w:customStyle="1" w:styleId="14">
    <w:name w:val="页脚 字符"/>
    <w:basedOn w:val="10"/>
    <w:link w:val="5"/>
    <w:qFormat/>
    <w:uiPriority w:val="99"/>
    <w:rPr>
      <w:rFonts w:cs="Times New Roman"/>
      <w:sz w:val="18"/>
      <w:szCs w:val="18"/>
    </w:rPr>
  </w:style>
  <w:style w:type="character" w:customStyle="1" w:styleId="15">
    <w:name w:val="批注框文本 字符"/>
    <w:basedOn w:val="10"/>
    <w:link w:val="4"/>
    <w:qFormat/>
    <w:uiPriority w:val="99"/>
    <w:rPr>
      <w:rFonts w:cs="Times New Roman"/>
      <w:sz w:val="2"/>
    </w:rPr>
  </w:style>
  <w:style w:type="character" w:customStyle="1" w:styleId="16">
    <w:name w:val="批注文字 字符"/>
    <w:basedOn w:val="10"/>
    <w:link w:val="3"/>
    <w:qFormat/>
    <w:uiPriority w:val="99"/>
    <w:rPr>
      <w:rFonts w:cs="Times New Roman"/>
    </w:rPr>
  </w:style>
  <w:style w:type="character" w:customStyle="1" w:styleId="17">
    <w:name w:val="批注主题 字符"/>
    <w:basedOn w:val="16"/>
    <w:link w:val="8"/>
    <w:qFormat/>
    <w:uiPriority w:val="99"/>
    <w:rPr>
      <w:rFonts w:cs="Times New Roman"/>
      <w:b/>
      <w:bCs/>
    </w:rPr>
  </w:style>
  <w:style w:type="character" w:customStyle="1" w:styleId="18">
    <w:name w:val="标题 6 字符"/>
    <w:basedOn w:val="10"/>
    <w:link w:val="2"/>
    <w:qFormat/>
    <w:uiPriority w:val="9"/>
    <w:rPr>
      <w:rFonts w:ascii="宋体" w:hAnsi="宋体" w:cs="宋体"/>
      <w:b/>
      <w:bCs/>
      <w:sz w:val="15"/>
      <w:szCs w:val="15"/>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2465</Words>
  <Characters>2473</Characters>
  <Lines>18</Lines>
  <Paragraphs>5</Paragraphs>
  <TotalTime>8</TotalTime>
  <ScaleCrop>false</ScaleCrop>
  <LinksUpToDate>false</LinksUpToDate>
  <CharactersWithSpaces>2527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2023-09-19T01:56:00Z</dcterms:created>
  <dc:creator>李卉</dc:creator>
  <cp:lastModifiedBy>LCH</cp:lastModifiedBy>
  <cp:lastPrinted>2018-11-17T04:30:00Z</cp:lastPrinted>
  <dcterms:modified xsi:type="dcterms:W3CDTF">2024-09-19T02:43:49Z</dcterms:modified>
  <dc:title>一、建华管桩集团有限公司简介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51A556AEC4414E0DB1261B5FB4599BD4_12</vt:lpwstr>
  </property>
</Properties>
</file>